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B43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166" w:rsidRDefault="00E14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54800" cy="960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ськ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60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B439B4" w:rsidRDefault="00917E1E" w:rsidP="007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Полищук А.Е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учителя русского языка и литературы,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 32 </w:t>
      </w:r>
      <w:r w:rsidR="007A03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Полищук Анна Евгеньевна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proofErr w:type="spellStart"/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>Босько</w:t>
      </w:r>
      <w:proofErr w:type="spellEnd"/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Владислава Павловича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Полищук Анна Евгеньевна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прикрепляется к Наставляемому (</w:t>
      </w:r>
      <w:proofErr w:type="spellStart"/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>Босько</w:t>
      </w:r>
      <w:proofErr w:type="spellEnd"/>
      <w:r w:rsidR="002C1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Владиславу Павловичу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02"/>
        <w:gridCol w:w="521"/>
        <w:gridCol w:w="1800"/>
        <w:gridCol w:w="2073"/>
        <w:gridCol w:w="1984"/>
        <w:gridCol w:w="903"/>
      </w:tblGrid>
      <w:tr w:rsidR="006962E2" w:rsidTr="00D36B11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D36B11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ей</w:t>
            </w:r>
            <w:proofErr w:type="gramEnd"/>
            <w:r w:rsidR="00D36B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0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830689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74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2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204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391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46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D36B1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20"/>
                <w:sz w:val="24"/>
              </w:rPr>
              <w:t xml:space="preserve"> </w:t>
            </w:r>
            <w:r w:rsidR="00D36B11">
              <w:rPr>
                <w:sz w:val="24"/>
              </w:rPr>
              <w:t>работы</w:t>
            </w:r>
            <w:r w:rsidR="00D36B11">
              <w:rPr>
                <w:spacing w:val="7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  <w:r w:rsidR="00D36B11"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реализации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Диагностики методических и предметных</w:t>
            </w:r>
            <w:r w:rsidR="00D36B11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D36B11" w:rsidRDefault="006962E2" w:rsidP="00D36B11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-58"/>
                <w:sz w:val="24"/>
              </w:rPr>
              <w:t xml:space="preserve"> </w:t>
            </w:r>
            <w:r w:rsidR="00D36B11">
              <w:rPr>
                <w:sz w:val="24"/>
              </w:rPr>
              <w:t>работ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 xml:space="preserve">ы    </w:t>
            </w:r>
            <w:r w:rsidR="00D36B11">
              <w:rPr>
                <w:spacing w:val="28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</w:p>
          <w:p w:rsidR="00D36B11" w:rsidRDefault="00D36B11" w:rsidP="00D36B11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  <w:p w:rsidR="006962E2" w:rsidRDefault="006962E2" w:rsidP="006962E2">
            <w:pPr>
              <w:pStyle w:val="TableParagraph"/>
              <w:spacing w:line="220" w:lineRule="exact"/>
              <w:ind w:left="10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  <w:r w:rsidR="00D36B11">
              <w:rPr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ничес</w:t>
            </w:r>
            <w:proofErr w:type="spellEnd"/>
            <w:r w:rsidR="00D36B11">
              <w:rPr>
                <w:spacing w:val="-57"/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2C1E50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r w:rsidR="002C1E50">
              <w:rPr>
                <w:sz w:val="24"/>
              </w:rPr>
              <w:t>Полищук Анна Евгеньевна</w:t>
            </w:r>
          </w:p>
        </w:tc>
        <w:tc>
          <w:tcPr>
            <w:tcW w:w="4941" w:type="dxa"/>
            <w:gridSpan w:val="3"/>
          </w:tcPr>
          <w:p w:rsidR="006962E2" w:rsidRDefault="006962E2" w:rsidP="002C1E50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2C1E50">
              <w:rPr>
                <w:sz w:val="24"/>
              </w:rPr>
              <w:t>Босько</w:t>
            </w:r>
            <w:proofErr w:type="spellEnd"/>
            <w:r w:rsidR="002C1E50">
              <w:rPr>
                <w:sz w:val="24"/>
              </w:rPr>
              <w:t xml:space="preserve"> Владислав Павлович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D36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D36B11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D36B11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09230B">
        <w:trPr>
          <w:trHeight w:val="3424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09230B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информацию </w:t>
            </w:r>
            <w:r>
              <w:rPr>
                <w:sz w:val="24"/>
              </w:rPr>
              <w:t>сразу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9230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09230B"/>
    <w:rsid w:val="001C2773"/>
    <w:rsid w:val="002C1E50"/>
    <w:rsid w:val="002E48C6"/>
    <w:rsid w:val="0043789C"/>
    <w:rsid w:val="00556218"/>
    <w:rsid w:val="006962E2"/>
    <w:rsid w:val="006D00C5"/>
    <w:rsid w:val="00774729"/>
    <w:rsid w:val="007A03D7"/>
    <w:rsid w:val="007C1BCD"/>
    <w:rsid w:val="00830689"/>
    <w:rsid w:val="008A6EA8"/>
    <w:rsid w:val="00917E1E"/>
    <w:rsid w:val="00A02549"/>
    <w:rsid w:val="00A32523"/>
    <w:rsid w:val="00B439B4"/>
    <w:rsid w:val="00B65EDD"/>
    <w:rsid w:val="00BE1D54"/>
    <w:rsid w:val="00D36B11"/>
    <w:rsid w:val="00D62166"/>
    <w:rsid w:val="00E14419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Ticner</cp:lastModifiedBy>
  <cp:revision>23</cp:revision>
  <dcterms:created xsi:type="dcterms:W3CDTF">2022-08-29T22:57:00Z</dcterms:created>
  <dcterms:modified xsi:type="dcterms:W3CDTF">2024-09-11T07:47:00Z</dcterms:modified>
</cp:coreProperties>
</file>